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FCF" w:rsidRPr="005B6498" w:rsidRDefault="00534459" w:rsidP="000C5FCF">
      <w:pPr>
        <w:spacing w:line="259" w:lineRule="auto"/>
        <w:jc w:val="center"/>
        <w:rPr>
          <w:rFonts w:eastAsia="Calibri" w:cstheme="minorHAnsi"/>
          <w:b/>
          <w:sz w:val="28"/>
          <w:szCs w:val="28"/>
        </w:rPr>
      </w:pPr>
      <w:r w:rsidRPr="005B6498">
        <w:rPr>
          <w:rFonts w:cstheme="minorHAnsi"/>
          <w:noProof/>
          <w:lang w:val="es-ES" w:eastAsia="es-ES"/>
        </w:rPr>
        <mc:AlternateContent>
          <mc:Choice Requires="wps">
            <w:drawing>
              <wp:anchor distT="0" distB="0" distL="114300" distR="114300" simplePos="0" relativeHeight="251659264" behindDoc="0" locked="0" layoutInCell="1" allowOverlap="1" wp14:anchorId="4B5146BF" wp14:editId="0813F40B">
                <wp:simplePos x="0" y="0"/>
                <wp:positionH relativeFrom="margin">
                  <wp:align>right</wp:align>
                </wp:positionH>
                <wp:positionV relativeFrom="paragraph">
                  <wp:posOffset>-476250</wp:posOffset>
                </wp:positionV>
                <wp:extent cx="1995805" cy="476250"/>
                <wp:effectExtent l="0" t="0" r="0" b="0"/>
                <wp:wrapNone/>
                <wp:docPr id="348" name="Cuadro de texto 348"/>
                <wp:cNvGraphicFramePr/>
                <a:graphic xmlns:a="http://schemas.openxmlformats.org/drawingml/2006/main">
                  <a:graphicData uri="http://schemas.microsoft.com/office/word/2010/wordprocessingShape">
                    <wps:wsp>
                      <wps:cNvSpPr txBox="1"/>
                      <wps:spPr>
                        <a:xfrm>
                          <a:off x="0" y="0"/>
                          <a:ext cx="1995805" cy="476250"/>
                        </a:xfrm>
                        <a:prstGeom prst="rect">
                          <a:avLst/>
                        </a:prstGeom>
                        <a:noFill/>
                        <a:ln w="6350">
                          <a:noFill/>
                        </a:ln>
                      </wps:spPr>
                      <wps:txbx>
                        <w:txbxContent>
                          <w:p w:rsidR="0055319A" w:rsidRPr="00D46EE9" w:rsidRDefault="0055319A" w:rsidP="0055319A">
                            <w:pPr>
                              <w:rPr>
                                <w:color w:val="595959" w:themeColor="text1" w:themeTint="A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B5146BF" id="_x0000_t202" coordsize="21600,21600" o:spt="202" path="m,l,21600r21600,l21600,xe">
                <v:stroke joinstyle="miter"/>
                <v:path gradientshapeok="t" o:connecttype="rect"/>
              </v:shapetype>
              <v:shape id="Cuadro de texto 348" o:spid="_x0000_s1026" type="#_x0000_t202" style="position:absolute;left:0;text-align:left;margin-left:105.95pt;margin-top:-37.5pt;width:157.15pt;height:37.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" filled="f" stroked="f" strokeweight=".5pt">
                <v:textbox>
                  <w:txbxContent>
                    <w:p w:rsidR="0055319A" w:rsidRPr="00D46EE9" w:rsidRDefault="0055319A" w:rsidP="0055319A">
                      <w:pPr>
                        <w:rPr>
                          <w:color w:val="595959" w:themeColor="text1" w:themeTint="A6"/>
                        </w:rPr>
                      </w:pPr>
                    </w:p>
                  </w:txbxContent>
                </v:textbox>
                <w10:wrap anchorx="margin"/>
              </v:shape>
            </w:pict>
          </mc:Fallback>
        </mc:AlternateContent>
      </w:r>
      <w:r w:rsidR="000C5FCF" w:rsidRPr="005B6498">
        <w:rPr>
          <w:rFonts w:eastAsia="Calibri" w:cstheme="minorHAnsi"/>
          <w:b/>
          <w:sz w:val="28"/>
          <w:szCs w:val="28"/>
        </w:rPr>
        <w:t xml:space="preserve"> PROCEDIMIENTO PARA ACCEDER A LA BASE DE DATOS REGIONAL</w:t>
      </w:r>
    </w:p>
    <w:p w:rsidR="000C5FCF" w:rsidRPr="005B6498" w:rsidRDefault="000C5FCF" w:rsidP="000C5FCF">
      <w:pPr>
        <w:spacing w:line="259" w:lineRule="auto"/>
        <w:jc w:val="center"/>
        <w:rPr>
          <w:rFonts w:eastAsia="Calibri" w:cstheme="minorHAnsi"/>
          <w:b/>
          <w:sz w:val="28"/>
          <w:szCs w:val="28"/>
        </w:rPr>
      </w:pPr>
      <w:r w:rsidRPr="005B6498">
        <w:rPr>
          <w:rFonts w:eastAsia="Calibri" w:cstheme="minorHAnsi"/>
          <w:b/>
          <w:sz w:val="28"/>
          <w:szCs w:val="28"/>
        </w:rPr>
        <w:t>DEL ENTE OPERADOR REGIONAL (EOR)</w:t>
      </w:r>
    </w:p>
    <w:p w:rsidR="000C5FCF" w:rsidRPr="005B6498" w:rsidRDefault="000C5FCF" w:rsidP="000C5FCF">
      <w:pPr>
        <w:spacing w:line="259" w:lineRule="auto"/>
        <w:rPr>
          <w:rFonts w:eastAsia="Calibri" w:cstheme="minorHAnsi"/>
        </w:rPr>
      </w:pPr>
    </w:p>
    <w:p w:rsidR="000C5FCF" w:rsidRPr="005B6498" w:rsidRDefault="000C5FCF" w:rsidP="000C5FCF">
      <w:pPr>
        <w:spacing w:line="259" w:lineRule="auto"/>
        <w:rPr>
          <w:rFonts w:eastAsia="Calibri" w:cstheme="minorHAnsi"/>
        </w:rPr>
      </w:pPr>
      <w:r w:rsidRPr="005B6498">
        <w:rPr>
          <w:rFonts w:eastAsia="Calibri" w:cstheme="minorHAnsi"/>
        </w:rPr>
        <w:t>Toda entidad o Agente que desea conectarse a la Red de Transmisión Regional (RTR) debe presentar la solicitud respectiva ante la Comisión Regional de Interconexión Eléctrica – CRIE-, como lo establece el numeral 4.5.2.1 del Libro III del Reglamento del Mercado Eléctrico Regional (RMER), acompañada de los estudios que respalden el cumplimiento de los criterios técnicos que se definen en el RMER, estos estudios deben desarrollarse según lo establece los capítulos 17 y 18 del Libro III del RMER.</w:t>
      </w:r>
    </w:p>
    <w:p w:rsidR="000C5FCF" w:rsidRPr="005B6498" w:rsidRDefault="000C5FCF" w:rsidP="000C5FCF">
      <w:pPr>
        <w:spacing w:line="259" w:lineRule="auto"/>
        <w:rPr>
          <w:rFonts w:eastAsia="Calibri" w:cstheme="minorHAnsi"/>
        </w:rPr>
      </w:pPr>
      <w:r w:rsidRPr="005B6498">
        <w:rPr>
          <w:rFonts w:eastAsia="Calibri" w:cstheme="minorHAnsi"/>
        </w:rPr>
        <w:t>Los estudios técnicos mencionados arriba serán realizados por el solicitante. La Base de Datos Regional (BDR) para desarrollar estos estudios, debe ser  proporcionada por el EOR.</w:t>
      </w:r>
    </w:p>
    <w:p w:rsidR="000C5FCF" w:rsidRPr="005B6498" w:rsidRDefault="000C5FCF" w:rsidP="000C5FCF">
      <w:pPr>
        <w:spacing w:line="259" w:lineRule="auto"/>
        <w:rPr>
          <w:rFonts w:eastAsia="Calibri" w:cstheme="minorHAnsi"/>
        </w:rPr>
      </w:pPr>
      <w:r w:rsidRPr="005B6498">
        <w:rPr>
          <w:rFonts w:eastAsia="Calibri" w:cstheme="minorHAnsi"/>
        </w:rPr>
        <w:t xml:space="preserve">La BDR será suministrada por el EOR, previa firma del documento de aceptación de los términos de uso de la misma, por parte del representante legal de la entidad o agente que la solicita; así como la entrega de la documentación requerida por el EOR. </w:t>
      </w:r>
    </w:p>
    <w:p w:rsidR="000C5FCF" w:rsidRPr="005B6498" w:rsidRDefault="000C5FCF" w:rsidP="000C5FCF">
      <w:pPr>
        <w:spacing w:line="259" w:lineRule="auto"/>
        <w:rPr>
          <w:rFonts w:eastAsia="Calibri" w:cstheme="minorHAnsi"/>
        </w:rPr>
      </w:pPr>
      <w:r w:rsidRPr="005B6498">
        <w:rPr>
          <w:rFonts w:eastAsia="Calibri" w:cstheme="minorHAnsi"/>
        </w:rPr>
        <w:t>El procedimiento para acceder a la BDR es el siguiente:</w:t>
      </w:r>
    </w:p>
    <w:p w:rsidR="000C5FCF" w:rsidRPr="005B6498" w:rsidRDefault="000C5FCF" w:rsidP="000C5FCF">
      <w:pPr>
        <w:numPr>
          <w:ilvl w:val="0"/>
          <w:numId w:val="2"/>
        </w:numPr>
        <w:spacing w:line="259" w:lineRule="auto"/>
        <w:contextualSpacing/>
        <w:rPr>
          <w:rFonts w:eastAsia="Calibri" w:cstheme="minorHAnsi"/>
        </w:rPr>
      </w:pPr>
      <w:r w:rsidRPr="005B6498">
        <w:rPr>
          <w:rFonts w:eastAsia="Calibri" w:cstheme="minorHAnsi"/>
        </w:rPr>
        <w:t>Descargar del sitio web del EOR (</w:t>
      </w:r>
      <w:hyperlink r:id="rId8" w:history="1">
        <w:r w:rsidRPr="005B6498">
          <w:rPr>
            <w:rFonts w:eastAsia="Calibri" w:cstheme="minorHAnsi"/>
            <w:color w:val="0563C1"/>
            <w:u w:val="single"/>
          </w:rPr>
          <w:t>www.enteoperador.org</w:t>
        </w:r>
      </w:hyperlink>
      <w:r w:rsidRPr="005B6498">
        <w:rPr>
          <w:rFonts w:eastAsia="Calibri" w:cstheme="minorHAnsi"/>
        </w:rPr>
        <w:t>)</w:t>
      </w:r>
      <w:r w:rsidR="00B748D6">
        <w:rPr>
          <w:rFonts w:eastAsia="Calibri" w:cstheme="minorHAnsi"/>
        </w:rPr>
        <w:t>,</w:t>
      </w:r>
      <w:bookmarkStart w:id="0" w:name="_GoBack"/>
      <w:bookmarkEnd w:id="0"/>
      <w:r w:rsidRPr="005B6498">
        <w:rPr>
          <w:rFonts w:eastAsia="Calibri" w:cstheme="minorHAnsi"/>
        </w:rPr>
        <w:t xml:space="preserve"> el archivo comprimido “Procedimiento para el acceso a la RTR”, el cual contiene los siguientes documentos:</w:t>
      </w:r>
    </w:p>
    <w:p w:rsidR="000C5FCF" w:rsidRPr="005B6498" w:rsidRDefault="000C5FCF" w:rsidP="000C5FCF">
      <w:pPr>
        <w:spacing w:line="259" w:lineRule="auto"/>
        <w:ind w:left="720"/>
        <w:contextualSpacing/>
        <w:rPr>
          <w:rFonts w:eastAsia="Calibri" w:cstheme="minorHAnsi"/>
        </w:rPr>
      </w:pPr>
    </w:p>
    <w:p w:rsidR="000C5FCF" w:rsidRPr="005B6498" w:rsidRDefault="000C5FCF" w:rsidP="000C5FCF">
      <w:pPr>
        <w:numPr>
          <w:ilvl w:val="0"/>
          <w:numId w:val="1"/>
        </w:numPr>
        <w:spacing w:line="259" w:lineRule="auto"/>
        <w:contextualSpacing/>
        <w:rPr>
          <w:rFonts w:eastAsia="Calibri" w:cstheme="minorHAnsi"/>
        </w:rPr>
      </w:pPr>
      <w:r w:rsidRPr="005B6498">
        <w:rPr>
          <w:rFonts w:eastAsia="Calibri" w:cstheme="minorHAnsi"/>
        </w:rPr>
        <w:t>Procedimiento para acceder a la Base de Datos Regional;</w:t>
      </w:r>
    </w:p>
    <w:p w:rsidR="000C5FCF" w:rsidRPr="005B6498" w:rsidRDefault="000C5FCF" w:rsidP="000C5FCF">
      <w:pPr>
        <w:numPr>
          <w:ilvl w:val="0"/>
          <w:numId w:val="1"/>
        </w:numPr>
        <w:spacing w:line="259" w:lineRule="auto"/>
        <w:contextualSpacing/>
        <w:rPr>
          <w:rFonts w:eastAsia="Calibri" w:cstheme="minorHAnsi"/>
        </w:rPr>
      </w:pPr>
      <w:r w:rsidRPr="005B6498">
        <w:rPr>
          <w:rFonts w:eastAsia="Calibri" w:cstheme="minorHAnsi"/>
        </w:rPr>
        <w:t>Formato de carta para Solicitud de la Base de Datos Regional;</w:t>
      </w:r>
    </w:p>
    <w:p w:rsidR="000C5FCF" w:rsidRPr="005B6498" w:rsidRDefault="000C5FCF" w:rsidP="000C5FCF">
      <w:pPr>
        <w:numPr>
          <w:ilvl w:val="0"/>
          <w:numId w:val="1"/>
        </w:numPr>
        <w:spacing w:line="259" w:lineRule="auto"/>
        <w:contextualSpacing/>
        <w:rPr>
          <w:rFonts w:eastAsia="Calibri" w:cstheme="minorHAnsi"/>
        </w:rPr>
      </w:pPr>
      <w:r w:rsidRPr="005B6498">
        <w:rPr>
          <w:rFonts w:eastAsia="Calibri" w:cstheme="minorHAnsi"/>
        </w:rPr>
        <w:t>Listado de documentos que acompañan la solicitud de Base de Datos Regional;</w:t>
      </w:r>
    </w:p>
    <w:p w:rsidR="000C5FCF" w:rsidRPr="005B6498" w:rsidRDefault="000C5FCF" w:rsidP="000C5FCF">
      <w:pPr>
        <w:numPr>
          <w:ilvl w:val="0"/>
          <w:numId w:val="1"/>
        </w:numPr>
        <w:spacing w:line="259" w:lineRule="auto"/>
        <w:contextualSpacing/>
        <w:rPr>
          <w:rFonts w:eastAsia="Calibri" w:cstheme="minorHAnsi"/>
        </w:rPr>
      </w:pPr>
      <w:r w:rsidRPr="005B6498">
        <w:rPr>
          <w:rFonts w:eastAsia="Calibri" w:cstheme="minorHAnsi"/>
        </w:rPr>
        <w:t>Formato de Documento de Aceptación de Términos de Uso de la Base de Datos Regional;</w:t>
      </w:r>
    </w:p>
    <w:p w:rsidR="000C5FCF" w:rsidRPr="005B6498" w:rsidRDefault="000C5FCF" w:rsidP="000C5FCF">
      <w:pPr>
        <w:numPr>
          <w:ilvl w:val="0"/>
          <w:numId w:val="1"/>
        </w:numPr>
        <w:spacing w:line="259" w:lineRule="auto"/>
        <w:contextualSpacing/>
        <w:rPr>
          <w:rFonts w:eastAsia="Calibri" w:cstheme="minorHAnsi"/>
        </w:rPr>
      </w:pPr>
      <w:r w:rsidRPr="005B6498">
        <w:rPr>
          <w:rFonts w:eastAsia="Calibri" w:cstheme="minorHAnsi"/>
        </w:rPr>
        <w:t xml:space="preserve">Extracto de la Regulación regional vigente relacionada al proceso de trámite de acceso a la RTR. </w:t>
      </w:r>
    </w:p>
    <w:p w:rsidR="000C5FCF" w:rsidRPr="005B6498" w:rsidRDefault="000C5FCF" w:rsidP="000C5FCF">
      <w:pPr>
        <w:spacing w:line="259" w:lineRule="auto"/>
        <w:rPr>
          <w:rFonts w:eastAsia="Calibri" w:cstheme="minorHAnsi"/>
        </w:rPr>
      </w:pPr>
    </w:p>
    <w:p w:rsidR="000C5FCF" w:rsidRPr="005B6498" w:rsidRDefault="000C5FCF" w:rsidP="000C5FCF">
      <w:pPr>
        <w:numPr>
          <w:ilvl w:val="0"/>
          <w:numId w:val="2"/>
        </w:numPr>
        <w:spacing w:line="259" w:lineRule="auto"/>
        <w:contextualSpacing/>
        <w:rPr>
          <w:rFonts w:eastAsia="Calibri" w:cstheme="minorHAnsi"/>
        </w:rPr>
      </w:pPr>
      <w:r w:rsidRPr="005B6498">
        <w:rPr>
          <w:rFonts w:eastAsia="Calibri" w:cstheme="minorHAnsi"/>
        </w:rPr>
        <w:t>Completar con la información correspondiente, la carta de solicitud de la Base de Datos Regional, y el borrador del documento de Aceptación de Términos de Uso de la Base de Datos Regional, así como la documentación requerida que debe remitirse al EOR.</w:t>
      </w:r>
    </w:p>
    <w:p w:rsidR="000C5FCF" w:rsidRPr="005B6498" w:rsidRDefault="000C5FCF" w:rsidP="000C5FCF">
      <w:pPr>
        <w:pStyle w:val="Prrafodelista"/>
        <w:numPr>
          <w:ilvl w:val="0"/>
          <w:numId w:val="2"/>
        </w:numPr>
        <w:spacing w:after="160" w:line="259" w:lineRule="auto"/>
        <w:contextualSpacing/>
        <w:jc w:val="both"/>
        <w:rPr>
          <w:rFonts w:asciiTheme="minorHAnsi" w:eastAsia="Calibri" w:hAnsiTheme="minorHAnsi" w:cstheme="minorHAnsi"/>
          <w:lang w:val="es-SV" w:eastAsia="en-US"/>
        </w:rPr>
      </w:pPr>
      <w:r w:rsidRPr="005B6498">
        <w:rPr>
          <w:rFonts w:asciiTheme="minorHAnsi" w:eastAsia="Calibri" w:hAnsiTheme="minorHAnsi" w:cstheme="minorHAnsi"/>
          <w:lang w:val="es-SV" w:eastAsia="en-US"/>
        </w:rPr>
        <w:t xml:space="preserve">Remitir en formato digital, a la dirección de correo electrónico: </w:t>
      </w:r>
      <w:hyperlink r:id="rId9" w:history="1">
        <w:r w:rsidRPr="005B6498">
          <w:rPr>
            <w:rStyle w:val="Hipervnculo"/>
            <w:rFonts w:asciiTheme="minorHAnsi" w:eastAsia="Calibri" w:hAnsiTheme="minorHAnsi" w:cstheme="minorHAnsi"/>
            <w:lang w:val="es-SV" w:eastAsia="en-US"/>
          </w:rPr>
          <w:t>planoper@enteoperador.org</w:t>
        </w:r>
      </w:hyperlink>
      <w:r w:rsidRPr="005B6498">
        <w:rPr>
          <w:rFonts w:asciiTheme="minorHAnsi" w:eastAsia="Calibri" w:hAnsiTheme="minorHAnsi" w:cstheme="minorHAnsi"/>
          <w:lang w:val="es-SV" w:eastAsia="en-US"/>
        </w:rPr>
        <w:t xml:space="preserve"> la carta de solicitud de la Base de Datos regional, el Borrador del Documento de Aceptación de Términos de Uso de la Base de Datos Regional, y la  documentación requerida.</w:t>
      </w:r>
    </w:p>
    <w:p w:rsidR="000C5FCF" w:rsidRPr="005B6498" w:rsidRDefault="000C5FCF" w:rsidP="000C5FCF">
      <w:pPr>
        <w:pStyle w:val="Prrafodelista"/>
        <w:rPr>
          <w:rFonts w:asciiTheme="minorHAnsi" w:eastAsia="Calibri" w:hAnsiTheme="minorHAnsi" w:cstheme="minorHAnsi"/>
          <w:lang w:val="es-SV" w:eastAsia="en-US"/>
        </w:rPr>
      </w:pPr>
    </w:p>
    <w:p w:rsidR="000C5FCF" w:rsidRPr="005B6498" w:rsidRDefault="000C5FCF" w:rsidP="000C5FCF">
      <w:pPr>
        <w:pStyle w:val="Prrafodelista"/>
        <w:numPr>
          <w:ilvl w:val="0"/>
          <w:numId w:val="2"/>
        </w:numPr>
        <w:spacing w:after="160" w:line="259" w:lineRule="auto"/>
        <w:contextualSpacing/>
        <w:jc w:val="both"/>
        <w:rPr>
          <w:rFonts w:asciiTheme="minorHAnsi" w:eastAsia="Calibri" w:hAnsiTheme="minorHAnsi" w:cstheme="minorHAnsi"/>
          <w:lang w:val="es-SV" w:eastAsia="en-US"/>
        </w:rPr>
      </w:pPr>
      <w:r w:rsidRPr="005B6498">
        <w:rPr>
          <w:rFonts w:asciiTheme="minorHAnsi" w:eastAsia="Calibri" w:hAnsiTheme="minorHAnsi" w:cstheme="minorHAnsi"/>
          <w:lang w:val="es-SV" w:eastAsia="en-US"/>
        </w:rPr>
        <w:t>El EOR realizará la revisión de los aspectos técnicos y legales de la documentación que haya recibido, e informará a la brevedad posible, vía correo electrónico a la entidad o Agente solicitante, si la información esta correcta o si debe ser corregida o completada en algún aspecto</w:t>
      </w:r>
    </w:p>
    <w:p w:rsidR="000C5FCF" w:rsidRPr="005B6498" w:rsidRDefault="000C5FCF" w:rsidP="000C5FCF">
      <w:pPr>
        <w:pStyle w:val="Prrafodelista"/>
        <w:rPr>
          <w:rFonts w:asciiTheme="minorHAnsi" w:eastAsia="Calibri" w:hAnsiTheme="minorHAnsi" w:cstheme="minorHAnsi"/>
          <w:lang w:val="es-SV" w:eastAsia="en-US"/>
        </w:rPr>
      </w:pPr>
    </w:p>
    <w:p w:rsidR="000C5FCF" w:rsidRPr="005B6498" w:rsidRDefault="000C5FCF" w:rsidP="000C5FCF">
      <w:pPr>
        <w:pStyle w:val="Prrafodelista"/>
        <w:numPr>
          <w:ilvl w:val="0"/>
          <w:numId w:val="2"/>
        </w:numPr>
        <w:spacing w:line="259" w:lineRule="auto"/>
        <w:ind w:left="714" w:hanging="357"/>
        <w:jc w:val="both"/>
        <w:rPr>
          <w:rFonts w:asciiTheme="minorHAnsi" w:eastAsia="Calibri" w:hAnsiTheme="minorHAnsi" w:cstheme="minorHAnsi"/>
          <w:lang w:val="es-SV" w:eastAsia="en-US"/>
        </w:rPr>
      </w:pPr>
      <w:r w:rsidRPr="005B6498">
        <w:rPr>
          <w:rFonts w:asciiTheme="minorHAnsi" w:eastAsia="Calibri" w:hAnsiTheme="minorHAnsi" w:cstheme="minorHAnsi"/>
          <w:lang w:val="es-SV" w:eastAsia="en-US"/>
        </w:rPr>
        <w:t xml:space="preserve">De no existir inconvenientes en la documentación suministrada, o cuando se haya subsanado cualquier error o deficiencia en la misma, el EOR informará a la entidad o al Agente solicitante, que puede remitir los documentos originales, vía correo ordinario, a la dirección: </w:t>
      </w:r>
      <w:r w:rsidRPr="005B6498">
        <w:rPr>
          <w:rFonts w:asciiTheme="minorHAnsi" w:eastAsia="Calibri" w:hAnsiTheme="minorHAnsi" w:cstheme="minorHAnsi"/>
          <w:b/>
          <w:lang w:val="es-SV" w:eastAsia="en-US"/>
        </w:rPr>
        <w:t>“Avenida Las Magnolias, N°128, Colonia San Benito, San Salvador, El Salvador, C.A.”.</w:t>
      </w:r>
    </w:p>
    <w:p w:rsidR="000C5FCF" w:rsidRPr="005B6498" w:rsidRDefault="000C5FCF" w:rsidP="000C5FCF">
      <w:pPr>
        <w:pStyle w:val="Prrafodelista"/>
        <w:rPr>
          <w:rFonts w:asciiTheme="minorHAnsi" w:eastAsia="Calibri" w:hAnsiTheme="minorHAnsi" w:cstheme="minorHAnsi"/>
          <w:lang w:val="es-SV" w:eastAsia="en-US"/>
        </w:rPr>
      </w:pPr>
    </w:p>
    <w:p w:rsidR="000C5FCF" w:rsidRPr="005B6498" w:rsidRDefault="000C5FCF" w:rsidP="000C5FCF">
      <w:pPr>
        <w:pStyle w:val="Prrafodelista"/>
        <w:numPr>
          <w:ilvl w:val="0"/>
          <w:numId w:val="2"/>
        </w:numPr>
        <w:spacing w:after="160" w:line="259" w:lineRule="auto"/>
        <w:jc w:val="both"/>
        <w:rPr>
          <w:rFonts w:asciiTheme="minorHAnsi" w:eastAsia="Calibri" w:hAnsiTheme="minorHAnsi" w:cstheme="minorHAnsi"/>
          <w:lang w:val="es-SV" w:eastAsia="en-US"/>
        </w:rPr>
      </w:pPr>
      <w:r w:rsidRPr="005B6498">
        <w:rPr>
          <w:rFonts w:asciiTheme="minorHAnsi" w:eastAsia="Calibri" w:hAnsiTheme="minorHAnsi" w:cstheme="minorHAnsi"/>
          <w:lang w:val="es-SV" w:eastAsia="en-US"/>
        </w:rPr>
        <w:t>Una vez recibidos los documentos originales, el EOR procederá a su revisión y si todo está en orden, remitirá a la entidad o al Agente solicitante, la Base de Datos Regional vía correo electrónico.</w:t>
      </w:r>
    </w:p>
    <w:p w:rsidR="000C5FCF" w:rsidRPr="006420C0" w:rsidRDefault="000C5FCF" w:rsidP="000C5FCF"/>
    <w:p w:rsidR="00534459" w:rsidRPr="000C5FCF" w:rsidRDefault="00534459" w:rsidP="00FD30C6">
      <w:pPr>
        <w:spacing w:after="0"/>
        <w:rPr>
          <w:rFonts w:eastAsia="Times New Roman" w:cstheme="minorHAnsi"/>
          <w:sz w:val="21"/>
          <w:szCs w:val="21"/>
          <w:lang w:eastAsia="es-ES"/>
        </w:rPr>
      </w:pPr>
    </w:p>
    <w:sectPr w:rsidR="00534459" w:rsidRPr="000C5FCF" w:rsidSect="00534459">
      <w:headerReference w:type="default" r:id="rId10"/>
      <w:footerReference w:type="default" r:id="rId11"/>
      <w:pgSz w:w="12240" w:h="15840"/>
      <w:pgMar w:top="1701" w:right="1418" w:bottom="1701" w:left="1418" w:header="567" w:footer="5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52D" w:rsidRDefault="0077452D" w:rsidP="00FF38B0">
      <w:pPr>
        <w:spacing w:after="0"/>
      </w:pPr>
      <w:r>
        <w:separator/>
      </w:r>
    </w:p>
  </w:endnote>
  <w:endnote w:type="continuationSeparator" w:id="0">
    <w:p w:rsidR="0077452D" w:rsidRDefault="0077452D" w:rsidP="00FF38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Segoe UI" w:hAnsi="Segoe UI" w:cs="Segoe UI"/>
        <w:sz w:val="16"/>
        <w:szCs w:val="16"/>
      </w:rPr>
      <w:id w:val="1378658630"/>
      <w:docPartObj>
        <w:docPartGallery w:val="Page Numbers (Bottom of Page)"/>
        <w:docPartUnique/>
      </w:docPartObj>
    </w:sdtPr>
    <w:sdtEndPr/>
    <w:sdtContent>
      <w:sdt>
        <w:sdtPr>
          <w:rPr>
            <w:rFonts w:ascii="Segoe UI" w:hAnsi="Segoe UI" w:cs="Segoe UI"/>
            <w:sz w:val="16"/>
            <w:szCs w:val="16"/>
          </w:rPr>
          <w:id w:val="1205367170"/>
          <w:docPartObj>
            <w:docPartGallery w:val="Page Numbers (Top of Page)"/>
            <w:docPartUnique/>
          </w:docPartObj>
        </w:sdtPr>
        <w:sdtEndPr/>
        <w:sdtContent>
          <w:p w:rsidR="00892EC2" w:rsidRPr="00892EC2" w:rsidRDefault="006F5A20" w:rsidP="00D46EE9">
            <w:pPr>
              <w:pStyle w:val="Piedepgina"/>
              <w:jc w:val="right"/>
              <w:rPr>
                <w:rFonts w:ascii="Segoe UI" w:hAnsi="Segoe UI" w:cs="Segoe UI"/>
                <w:sz w:val="16"/>
                <w:szCs w:val="16"/>
              </w:rPr>
            </w:pPr>
            <w:r>
              <w:rPr>
                <w:noProof/>
                <w:sz w:val="16"/>
                <w:szCs w:val="16"/>
                <w:lang w:val="es-ES" w:eastAsia="es-ES"/>
              </w:rPr>
              <w:drawing>
                <wp:anchor distT="0" distB="0" distL="114300" distR="114300" simplePos="0" relativeHeight="251667456" behindDoc="1" locked="0" layoutInCell="1" allowOverlap="1">
                  <wp:simplePos x="0" y="0"/>
                  <wp:positionH relativeFrom="column">
                    <wp:posOffset>1341755</wp:posOffset>
                  </wp:positionH>
                  <wp:positionV relativeFrom="paragraph">
                    <wp:posOffset>-363855</wp:posOffset>
                  </wp:positionV>
                  <wp:extent cx="3338211" cy="252425"/>
                  <wp:effectExtent l="0" t="0" r="0" b="0"/>
                  <wp:wrapNone/>
                  <wp:docPr id="375" name="Imagen 375" descr="C:\Users\jrevelo\Desktop\Abajo a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revelo\Desktop\Abajo a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8211" cy="252425"/>
                          </a:xfrm>
                          <a:prstGeom prst="rect">
                            <a:avLst/>
                          </a:prstGeom>
                          <a:noFill/>
                          <a:ln>
                            <a:noFill/>
                          </a:ln>
                        </pic:spPr>
                      </pic:pic>
                    </a:graphicData>
                  </a:graphic>
                  <wp14:sizeRelH relativeFrom="page">
                    <wp14:pctWidth>0</wp14:pctWidth>
                  </wp14:sizeRelH>
                  <wp14:sizeRelV relativeFrom="page">
                    <wp14:pctHeight>0</wp14:pctHeight>
                  </wp14:sizeRelV>
                </wp:anchor>
              </w:drawing>
            </w:r>
            <w:r w:rsidR="00D46EE9" w:rsidRPr="00DD6236">
              <w:rPr>
                <w:noProof/>
                <w:sz w:val="16"/>
                <w:szCs w:val="16"/>
                <w:lang w:val="es-ES" w:eastAsia="es-ES"/>
              </w:rPr>
              <mc:AlternateContent>
                <mc:Choice Requires="wps">
                  <w:drawing>
                    <wp:anchor distT="0" distB="0" distL="114300" distR="114300" simplePos="0" relativeHeight="251664384" behindDoc="1" locked="0" layoutInCell="1" allowOverlap="1" wp14:anchorId="2D07DEF1" wp14:editId="22009706">
                      <wp:simplePos x="0" y="0"/>
                      <wp:positionH relativeFrom="column">
                        <wp:posOffset>-909955</wp:posOffset>
                      </wp:positionH>
                      <wp:positionV relativeFrom="paragraph">
                        <wp:posOffset>-132715</wp:posOffset>
                      </wp:positionV>
                      <wp:extent cx="7792084" cy="503554"/>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2084" cy="503554"/>
                              </a:xfrm>
                              <a:prstGeom prst="rect">
                                <a:avLst/>
                              </a:prstGeom>
                              <a:noFill/>
                              <a:ln w="9525">
                                <a:noFill/>
                                <a:miter lim="800000"/>
                                <a:headEnd/>
                                <a:tailEnd/>
                              </a:ln>
                            </wps:spPr>
                            <wps:txbx>
                              <w:txbxContent>
                                <w:p w:rsidR="00C57DCD" w:rsidRPr="00C57DCD" w:rsidRDefault="00C57DCD" w:rsidP="00C57DCD">
                                  <w:pPr>
                                    <w:pStyle w:val="Piedepgina"/>
                                    <w:jc w:val="center"/>
                                    <w:rPr>
                                      <w:rFonts w:ascii="Segoe UI" w:hAnsi="Segoe UI" w:cs="Segoe UI"/>
                                      <w:sz w:val="14"/>
                                      <w:szCs w:val="14"/>
                                    </w:rPr>
                                  </w:pPr>
                                  <w:r w:rsidRPr="00C57DCD">
                                    <w:rPr>
                                      <w:rFonts w:ascii="Segoe UI" w:hAnsi="Segoe UI" w:cs="Segoe UI"/>
                                      <w:sz w:val="14"/>
                                      <w:szCs w:val="14"/>
                                    </w:rPr>
                                    <w:t>Colonia San Benito, Ave. Las Magnolias, N° 128. San Salvador, El Salvador, C.A.</w:t>
                                  </w:r>
                                </w:p>
                                <w:p w:rsidR="00C57DCD" w:rsidRPr="00C57DCD" w:rsidRDefault="00C57DCD" w:rsidP="00C57DCD">
                                  <w:pPr>
                                    <w:pStyle w:val="Piedepgina"/>
                                    <w:jc w:val="center"/>
                                    <w:rPr>
                                      <w:rFonts w:ascii="Segoe UI" w:hAnsi="Segoe UI" w:cs="Segoe UI"/>
                                      <w:sz w:val="14"/>
                                      <w:szCs w:val="14"/>
                                    </w:rPr>
                                  </w:pPr>
                                  <w:r w:rsidRPr="00C57DCD">
                                    <w:rPr>
                                      <w:rFonts w:ascii="Segoe UI" w:hAnsi="Segoe UI" w:cs="Segoe UI"/>
                                      <w:sz w:val="14"/>
                                      <w:szCs w:val="14"/>
                                    </w:rPr>
                                    <w:t>PBX: (503) 2245-9900 | FAX: (503) 2208-2368</w:t>
                                  </w:r>
                                </w:p>
                                <w:p w:rsidR="00892EC2" w:rsidRPr="0080429F" w:rsidRDefault="00C57DCD" w:rsidP="00C57DCD">
                                  <w:pPr>
                                    <w:pStyle w:val="Piedepgina"/>
                                    <w:jc w:val="center"/>
                                    <w:rPr>
                                      <w:rFonts w:ascii="Segoe UI" w:hAnsi="Segoe UI" w:cs="Segoe UI"/>
                                      <w:sz w:val="14"/>
                                      <w:szCs w:val="14"/>
                                    </w:rPr>
                                  </w:pPr>
                                  <w:r w:rsidRPr="0080429F">
                                    <w:rPr>
                                      <w:rFonts w:ascii="Segoe UI" w:hAnsi="Segoe UI" w:cs="Segoe UI"/>
                                      <w:sz w:val="14"/>
                                      <w:szCs w:val="14"/>
                                    </w:rPr>
                                    <w:t>Email: info@enteoperador.org | Web: enteoperador.org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7DEF1" id="_x0000_t202" coordsize="21600,21600" o:spt="202" path="m,l,21600r21600,l21600,xe">
                      <v:stroke joinstyle="miter"/>
                      <v:path gradientshapeok="t" o:connecttype="rect"/>
                    </v:shapetype>
                    <v:shape id="Cuadro de texto 2" o:spid="_x0000_s1027" type="#_x0000_t202" style="position:absolute;left:0;text-align:left;margin-left:-71.65pt;margin-top:-10.45pt;width:613.55pt;height:39.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" filled="f" stroked="f">
                      <v:textbox>
                        <w:txbxContent>
                          <w:p w:rsidR="00C57DCD" w:rsidRPr="00C57DCD" w:rsidRDefault="00C57DCD" w:rsidP="00C57DCD">
                            <w:pPr>
                              <w:pStyle w:val="Piedepgina"/>
                              <w:jc w:val="center"/>
                              <w:rPr>
                                <w:rFonts w:ascii="Segoe UI" w:hAnsi="Segoe UI" w:cs="Segoe UI"/>
                                <w:sz w:val="14"/>
                                <w:szCs w:val="14"/>
                              </w:rPr>
                            </w:pPr>
                            <w:r w:rsidRPr="00C57DCD">
                              <w:rPr>
                                <w:rFonts w:ascii="Segoe UI" w:hAnsi="Segoe UI" w:cs="Segoe UI"/>
                                <w:sz w:val="14"/>
                                <w:szCs w:val="14"/>
                              </w:rPr>
                              <w:t>Colonia San Benito, Ave. Las Magnolias, N° 128. San Salvador, El Salvador, C.A.</w:t>
                            </w:r>
                          </w:p>
                          <w:p w:rsidR="00C57DCD" w:rsidRPr="00C57DCD" w:rsidRDefault="00C57DCD" w:rsidP="00C57DCD">
                            <w:pPr>
                              <w:pStyle w:val="Piedepgina"/>
                              <w:jc w:val="center"/>
                              <w:rPr>
                                <w:rFonts w:ascii="Segoe UI" w:hAnsi="Segoe UI" w:cs="Segoe UI"/>
                                <w:sz w:val="14"/>
                                <w:szCs w:val="14"/>
                              </w:rPr>
                            </w:pPr>
                            <w:r w:rsidRPr="00C57DCD">
                              <w:rPr>
                                <w:rFonts w:ascii="Segoe UI" w:hAnsi="Segoe UI" w:cs="Segoe UI"/>
                                <w:sz w:val="14"/>
                                <w:szCs w:val="14"/>
                              </w:rPr>
                              <w:t>PBX: (503) 2245-9900 | FAX: (503) 2208-2368</w:t>
                            </w:r>
                          </w:p>
                          <w:p w:rsidR="00892EC2" w:rsidRPr="0080429F" w:rsidRDefault="00C57DCD" w:rsidP="00C57DCD">
                            <w:pPr>
                              <w:pStyle w:val="Piedepgina"/>
                              <w:jc w:val="center"/>
                              <w:rPr>
                                <w:rFonts w:ascii="Segoe UI" w:hAnsi="Segoe UI" w:cs="Segoe UI"/>
                                <w:sz w:val="14"/>
                                <w:szCs w:val="14"/>
                              </w:rPr>
                            </w:pPr>
                            <w:r w:rsidRPr="0080429F">
                              <w:rPr>
                                <w:rFonts w:ascii="Segoe UI" w:hAnsi="Segoe UI" w:cs="Segoe UI"/>
                                <w:sz w:val="14"/>
                                <w:szCs w:val="14"/>
                              </w:rPr>
                              <w:t>Email: info@enteoperador.org | Web: enteoperador.org</w:t>
                            </w:r>
                          </w:p>
                        </w:txbxContent>
                      </v:textbox>
                    </v:shape>
                  </w:pict>
                </mc:Fallback>
              </mc:AlternateContent>
            </w:r>
            <w:r w:rsidR="00892EC2" w:rsidRPr="00892EC2">
              <w:rPr>
                <w:rFonts w:ascii="Segoe UI" w:hAnsi="Segoe UI" w:cs="Segoe UI"/>
                <w:sz w:val="16"/>
                <w:szCs w:val="16"/>
                <w:lang w:val="es-ES"/>
              </w:rPr>
              <w:t xml:space="preserve">Página </w:t>
            </w:r>
            <w:r w:rsidR="00892EC2" w:rsidRPr="00892EC2">
              <w:rPr>
                <w:rFonts w:ascii="Segoe UI" w:hAnsi="Segoe UI" w:cs="Segoe UI"/>
                <w:b/>
                <w:bCs/>
                <w:sz w:val="16"/>
                <w:szCs w:val="16"/>
              </w:rPr>
              <w:fldChar w:fldCharType="begin"/>
            </w:r>
            <w:r w:rsidR="00892EC2" w:rsidRPr="00892EC2">
              <w:rPr>
                <w:rFonts w:ascii="Segoe UI" w:hAnsi="Segoe UI" w:cs="Segoe UI"/>
                <w:b/>
                <w:bCs/>
                <w:sz w:val="16"/>
                <w:szCs w:val="16"/>
              </w:rPr>
              <w:instrText>PAGE</w:instrText>
            </w:r>
            <w:r w:rsidR="00892EC2" w:rsidRPr="00892EC2">
              <w:rPr>
                <w:rFonts w:ascii="Segoe UI" w:hAnsi="Segoe UI" w:cs="Segoe UI"/>
                <w:b/>
                <w:bCs/>
                <w:sz w:val="16"/>
                <w:szCs w:val="16"/>
              </w:rPr>
              <w:fldChar w:fldCharType="separate"/>
            </w:r>
            <w:r w:rsidR="00B748D6">
              <w:rPr>
                <w:rFonts w:ascii="Segoe UI" w:hAnsi="Segoe UI" w:cs="Segoe UI"/>
                <w:b/>
                <w:bCs/>
                <w:noProof/>
                <w:sz w:val="16"/>
                <w:szCs w:val="16"/>
              </w:rPr>
              <w:t>2</w:t>
            </w:r>
            <w:r w:rsidR="00892EC2" w:rsidRPr="00892EC2">
              <w:rPr>
                <w:rFonts w:ascii="Segoe UI" w:hAnsi="Segoe UI" w:cs="Segoe UI"/>
                <w:b/>
                <w:bCs/>
                <w:sz w:val="16"/>
                <w:szCs w:val="16"/>
              </w:rPr>
              <w:fldChar w:fldCharType="end"/>
            </w:r>
            <w:r w:rsidR="00892EC2" w:rsidRPr="00892EC2">
              <w:rPr>
                <w:rFonts w:ascii="Segoe UI" w:hAnsi="Segoe UI" w:cs="Segoe UI"/>
                <w:sz w:val="16"/>
                <w:szCs w:val="16"/>
                <w:lang w:val="es-ES"/>
              </w:rPr>
              <w:t xml:space="preserve"> de </w:t>
            </w:r>
            <w:r w:rsidR="00892EC2" w:rsidRPr="00892EC2">
              <w:rPr>
                <w:rFonts w:ascii="Segoe UI" w:hAnsi="Segoe UI" w:cs="Segoe UI"/>
                <w:b/>
                <w:bCs/>
                <w:sz w:val="16"/>
                <w:szCs w:val="16"/>
              </w:rPr>
              <w:fldChar w:fldCharType="begin"/>
            </w:r>
            <w:r w:rsidR="00892EC2" w:rsidRPr="00892EC2">
              <w:rPr>
                <w:rFonts w:ascii="Segoe UI" w:hAnsi="Segoe UI" w:cs="Segoe UI"/>
                <w:b/>
                <w:bCs/>
                <w:sz w:val="16"/>
                <w:szCs w:val="16"/>
              </w:rPr>
              <w:instrText>NUMPAGES</w:instrText>
            </w:r>
            <w:r w:rsidR="00892EC2" w:rsidRPr="00892EC2">
              <w:rPr>
                <w:rFonts w:ascii="Segoe UI" w:hAnsi="Segoe UI" w:cs="Segoe UI"/>
                <w:b/>
                <w:bCs/>
                <w:sz w:val="16"/>
                <w:szCs w:val="16"/>
              </w:rPr>
              <w:fldChar w:fldCharType="separate"/>
            </w:r>
            <w:r w:rsidR="00B748D6">
              <w:rPr>
                <w:rFonts w:ascii="Segoe UI" w:hAnsi="Segoe UI" w:cs="Segoe UI"/>
                <w:b/>
                <w:bCs/>
                <w:noProof/>
                <w:sz w:val="16"/>
                <w:szCs w:val="16"/>
              </w:rPr>
              <w:t>2</w:t>
            </w:r>
            <w:r w:rsidR="00892EC2" w:rsidRPr="00892EC2">
              <w:rPr>
                <w:rFonts w:ascii="Segoe UI" w:hAnsi="Segoe UI" w:cs="Segoe UI"/>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52D" w:rsidRDefault="0077452D" w:rsidP="00FF38B0">
      <w:pPr>
        <w:spacing w:after="0"/>
      </w:pPr>
      <w:r>
        <w:separator/>
      </w:r>
    </w:p>
  </w:footnote>
  <w:footnote w:type="continuationSeparator" w:id="0">
    <w:p w:rsidR="0077452D" w:rsidRDefault="0077452D" w:rsidP="00FF38B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EC2" w:rsidRDefault="00C57DCD">
    <w:pPr>
      <w:pStyle w:val="Encabezado"/>
    </w:pPr>
    <w:r>
      <w:rPr>
        <w:noProof/>
        <w:lang w:val="es-ES" w:eastAsia="es-ES"/>
      </w:rPr>
      <w:drawing>
        <wp:anchor distT="0" distB="0" distL="114300" distR="114300" simplePos="0" relativeHeight="251657216" behindDoc="1" locked="0" layoutInCell="1" allowOverlap="1">
          <wp:simplePos x="0" y="0"/>
          <wp:positionH relativeFrom="column">
            <wp:posOffset>-373380</wp:posOffset>
          </wp:positionH>
          <wp:positionV relativeFrom="paragraph">
            <wp:posOffset>-169545</wp:posOffset>
          </wp:positionV>
          <wp:extent cx="6347114" cy="773613"/>
          <wp:effectExtent l="0" t="0" r="9525" b="7620"/>
          <wp:wrapNone/>
          <wp:docPr id="37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iba logo.png"/>
                  <pic:cNvPicPr/>
                </pic:nvPicPr>
                <pic:blipFill>
                  <a:blip r:embed="rId1">
                    <a:extLst>
                      <a:ext uri="{28A0092B-C50C-407E-A947-70E740481C1C}">
                        <a14:useLocalDpi xmlns:a14="http://schemas.microsoft.com/office/drawing/2010/main" val="0"/>
                      </a:ext>
                    </a:extLst>
                  </a:blip>
                  <a:stretch>
                    <a:fillRect/>
                  </a:stretch>
                </pic:blipFill>
                <pic:spPr>
                  <a:xfrm>
                    <a:off x="0" y="0"/>
                    <a:ext cx="6347114" cy="773613"/>
                  </a:xfrm>
                  <a:prstGeom prst="rect">
                    <a:avLst/>
                  </a:prstGeom>
                </pic:spPr>
              </pic:pic>
            </a:graphicData>
          </a:graphic>
          <wp14:sizeRelH relativeFrom="page">
            <wp14:pctWidth>0</wp14:pctWidth>
          </wp14:sizeRelH>
          <wp14:sizeRelV relativeFrom="page">
            <wp14:pctHeight>0</wp14:pctHeight>
          </wp14:sizeRelV>
        </wp:anchor>
      </w:drawing>
    </w:r>
    <w:r w:rsidR="0096458B">
      <w:rPr>
        <w:noProof/>
        <w:lang w:eastAsia="es-SV"/>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7755A1"/>
    <w:multiLevelType w:val="hybridMultilevel"/>
    <w:tmpl w:val="045EEC02"/>
    <w:lvl w:ilvl="0" w:tplc="8C5E70A6">
      <w:start w:val="1"/>
      <w:numFmt w:val="decimal"/>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15:restartNumberingAfterBreak="0">
    <w:nsid w:val="4AD931F3"/>
    <w:multiLevelType w:val="hybridMultilevel"/>
    <w:tmpl w:val="E6BEC3AA"/>
    <w:lvl w:ilvl="0" w:tplc="440A0017">
      <w:start w:val="1"/>
      <w:numFmt w:val="lowerLetter"/>
      <w:lvlText w:val="%1)"/>
      <w:lvlJc w:val="left"/>
      <w:pPr>
        <w:ind w:left="1776" w:hanging="360"/>
      </w:pPr>
    </w:lvl>
    <w:lvl w:ilvl="1" w:tplc="440A0019" w:tentative="1">
      <w:start w:val="1"/>
      <w:numFmt w:val="lowerLetter"/>
      <w:lvlText w:val="%2."/>
      <w:lvlJc w:val="left"/>
      <w:pPr>
        <w:ind w:left="2496" w:hanging="360"/>
      </w:pPr>
    </w:lvl>
    <w:lvl w:ilvl="2" w:tplc="440A001B" w:tentative="1">
      <w:start w:val="1"/>
      <w:numFmt w:val="lowerRoman"/>
      <w:lvlText w:val="%3."/>
      <w:lvlJc w:val="right"/>
      <w:pPr>
        <w:ind w:left="3216" w:hanging="180"/>
      </w:pPr>
    </w:lvl>
    <w:lvl w:ilvl="3" w:tplc="440A000F" w:tentative="1">
      <w:start w:val="1"/>
      <w:numFmt w:val="decimal"/>
      <w:lvlText w:val="%4."/>
      <w:lvlJc w:val="left"/>
      <w:pPr>
        <w:ind w:left="3936" w:hanging="360"/>
      </w:pPr>
    </w:lvl>
    <w:lvl w:ilvl="4" w:tplc="440A0019" w:tentative="1">
      <w:start w:val="1"/>
      <w:numFmt w:val="lowerLetter"/>
      <w:lvlText w:val="%5."/>
      <w:lvlJc w:val="left"/>
      <w:pPr>
        <w:ind w:left="4656" w:hanging="360"/>
      </w:pPr>
    </w:lvl>
    <w:lvl w:ilvl="5" w:tplc="440A001B" w:tentative="1">
      <w:start w:val="1"/>
      <w:numFmt w:val="lowerRoman"/>
      <w:lvlText w:val="%6."/>
      <w:lvlJc w:val="right"/>
      <w:pPr>
        <w:ind w:left="5376" w:hanging="180"/>
      </w:pPr>
    </w:lvl>
    <w:lvl w:ilvl="6" w:tplc="440A000F" w:tentative="1">
      <w:start w:val="1"/>
      <w:numFmt w:val="decimal"/>
      <w:lvlText w:val="%7."/>
      <w:lvlJc w:val="left"/>
      <w:pPr>
        <w:ind w:left="6096" w:hanging="360"/>
      </w:pPr>
    </w:lvl>
    <w:lvl w:ilvl="7" w:tplc="440A0019" w:tentative="1">
      <w:start w:val="1"/>
      <w:numFmt w:val="lowerLetter"/>
      <w:lvlText w:val="%8."/>
      <w:lvlJc w:val="left"/>
      <w:pPr>
        <w:ind w:left="6816" w:hanging="360"/>
      </w:pPr>
    </w:lvl>
    <w:lvl w:ilvl="8" w:tplc="440A001B" w:tentative="1">
      <w:start w:val="1"/>
      <w:numFmt w:val="lowerRoman"/>
      <w:lvlText w:val="%9."/>
      <w:lvlJc w:val="right"/>
      <w:pPr>
        <w:ind w:left="75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054"/>
    <w:rsid w:val="0003406B"/>
    <w:rsid w:val="00081912"/>
    <w:rsid w:val="00095DDB"/>
    <w:rsid w:val="000C5FCF"/>
    <w:rsid w:val="000E1C1E"/>
    <w:rsid w:val="00107D9F"/>
    <w:rsid w:val="00113520"/>
    <w:rsid w:val="001301BF"/>
    <w:rsid w:val="0016599C"/>
    <w:rsid w:val="00212434"/>
    <w:rsid w:val="002513E6"/>
    <w:rsid w:val="00253DC5"/>
    <w:rsid w:val="00285EBF"/>
    <w:rsid w:val="002A6125"/>
    <w:rsid w:val="002E67D5"/>
    <w:rsid w:val="00340093"/>
    <w:rsid w:val="003B5D0B"/>
    <w:rsid w:val="003C0E5D"/>
    <w:rsid w:val="003C37C6"/>
    <w:rsid w:val="003F681C"/>
    <w:rsid w:val="004532C2"/>
    <w:rsid w:val="00464CA1"/>
    <w:rsid w:val="00473612"/>
    <w:rsid w:val="00474F68"/>
    <w:rsid w:val="004C46A3"/>
    <w:rsid w:val="004E5539"/>
    <w:rsid w:val="005007D6"/>
    <w:rsid w:val="00523085"/>
    <w:rsid w:val="00534459"/>
    <w:rsid w:val="00540424"/>
    <w:rsid w:val="0055319A"/>
    <w:rsid w:val="00587B16"/>
    <w:rsid w:val="005B6498"/>
    <w:rsid w:val="006A70B6"/>
    <w:rsid w:val="006A776B"/>
    <w:rsid w:val="006F4459"/>
    <w:rsid w:val="006F5A20"/>
    <w:rsid w:val="00702948"/>
    <w:rsid w:val="007150FA"/>
    <w:rsid w:val="0077452D"/>
    <w:rsid w:val="00776210"/>
    <w:rsid w:val="007A152A"/>
    <w:rsid w:val="007B5EE8"/>
    <w:rsid w:val="007E4341"/>
    <w:rsid w:val="007F2054"/>
    <w:rsid w:val="0080429F"/>
    <w:rsid w:val="00840E51"/>
    <w:rsid w:val="00892EC2"/>
    <w:rsid w:val="008A4AC2"/>
    <w:rsid w:val="008C2BCE"/>
    <w:rsid w:val="00932D34"/>
    <w:rsid w:val="0096458B"/>
    <w:rsid w:val="009678F9"/>
    <w:rsid w:val="00971B7A"/>
    <w:rsid w:val="009814FD"/>
    <w:rsid w:val="00983410"/>
    <w:rsid w:val="009A6157"/>
    <w:rsid w:val="009D11DD"/>
    <w:rsid w:val="009D223D"/>
    <w:rsid w:val="00A22771"/>
    <w:rsid w:val="00A22934"/>
    <w:rsid w:val="00AB5065"/>
    <w:rsid w:val="00B241EF"/>
    <w:rsid w:val="00B34222"/>
    <w:rsid w:val="00B6001A"/>
    <w:rsid w:val="00B748D6"/>
    <w:rsid w:val="00BB44BF"/>
    <w:rsid w:val="00BB71A6"/>
    <w:rsid w:val="00BE411C"/>
    <w:rsid w:val="00C1425A"/>
    <w:rsid w:val="00C57DCD"/>
    <w:rsid w:val="00C71283"/>
    <w:rsid w:val="00C91D85"/>
    <w:rsid w:val="00CC3B37"/>
    <w:rsid w:val="00CF23C8"/>
    <w:rsid w:val="00CF26F5"/>
    <w:rsid w:val="00D46EE9"/>
    <w:rsid w:val="00D46F6E"/>
    <w:rsid w:val="00D76CA6"/>
    <w:rsid w:val="00D86501"/>
    <w:rsid w:val="00D96CA6"/>
    <w:rsid w:val="00DD6236"/>
    <w:rsid w:val="00DD7DE5"/>
    <w:rsid w:val="00DF798C"/>
    <w:rsid w:val="00E02BF7"/>
    <w:rsid w:val="00E409AB"/>
    <w:rsid w:val="00E828A4"/>
    <w:rsid w:val="00E83186"/>
    <w:rsid w:val="00E84425"/>
    <w:rsid w:val="00EB7B84"/>
    <w:rsid w:val="00EC5424"/>
    <w:rsid w:val="00EF3CC6"/>
    <w:rsid w:val="00F0311B"/>
    <w:rsid w:val="00F11D37"/>
    <w:rsid w:val="00F83C9A"/>
    <w:rsid w:val="00FC1458"/>
    <w:rsid w:val="00FC6268"/>
    <w:rsid w:val="00FD30C6"/>
    <w:rsid w:val="00FF38B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19E7A4-AF49-4EC1-B611-30F5A94A0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81C"/>
    <w:pPr>
      <w:spacing w:after="16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38B0"/>
    <w:pPr>
      <w:tabs>
        <w:tab w:val="center" w:pos="4419"/>
        <w:tab w:val="right" w:pos="8838"/>
      </w:tabs>
      <w:spacing w:after="0"/>
    </w:pPr>
  </w:style>
  <w:style w:type="character" w:customStyle="1" w:styleId="EncabezadoCar">
    <w:name w:val="Encabezado Car"/>
    <w:basedOn w:val="Fuentedeprrafopredeter"/>
    <w:link w:val="Encabezado"/>
    <w:uiPriority w:val="99"/>
    <w:rsid w:val="00FF38B0"/>
  </w:style>
  <w:style w:type="paragraph" w:styleId="Piedepgina">
    <w:name w:val="footer"/>
    <w:basedOn w:val="Normal"/>
    <w:link w:val="PiedepginaCar"/>
    <w:uiPriority w:val="99"/>
    <w:unhideWhenUsed/>
    <w:rsid w:val="00FF38B0"/>
    <w:pPr>
      <w:tabs>
        <w:tab w:val="center" w:pos="4419"/>
        <w:tab w:val="right" w:pos="8838"/>
      </w:tabs>
      <w:spacing w:after="0"/>
    </w:pPr>
  </w:style>
  <w:style w:type="character" w:customStyle="1" w:styleId="PiedepginaCar">
    <w:name w:val="Pie de página Car"/>
    <w:basedOn w:val="Fuentedeprrafopredeter"/>
    <w:link w:val="Piedepgina"/>
    <w:uiPriority w:val="99"/>
    <w:rsid w:val="00FF38B0"/>
  </w:style>
  <w:style w:type="paragraph" w:styleId="Textodeglobo">
    <w:name w:val="Balloon Text"/>
    <w:basedOn w:val="Normal"/>
    <w:link w:val="TextodegloboCar"/>
    <w:uiPriority w:val="99"/>
    <w:semiHidden/>
    <w:unhideWhenUsed/>
    <w:rsid w:val="00FF38B0"/>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38B0"/>
    <w:rPr>
      <w:rFonts w:ascii="Tahoma" w:hAnsi="Tahoma" w:cs="Tahoma"/>
      <w:sz w:val="16"/>
      <w:szCs w:val="16"/>
    </w:rPr>
  </w:style>
  <w:style w:type="character" w:styleId="Hipervnculo">
    <w:name w:val="Hyperlink"/>
    <w:basedOn w:val="Fuentedeprrafopredeter"/>
    <w:uiPriority w:val="99"/>
    <w:unhideWhenUsed/>
    <w:rsid w:val="003B5D0B"/>
    <w:rPr>
      <w:color w:val="0000FF" w:themeColor="hyperlink"/>
      <w:u w:val="single"/>
    </w:rPr>
  </w:style>
  <w:style w:type="character" w:customStyle="1" w:styleId="UnresolvedMention">
    <w:name w:val="Unresolved Mention"/>
    <w:basedOn w:val="Fuentedeprrafopredeter"/>
    <w:uiPriority w:val="99"/>
    <w:semiHidden/>
    <w:unhideWhenUsed/>
    <w:rsid w:val="00D76CA6"/>
    <w:rPr>
      <w:color w:val="808080"/>
      <w:shd w:val="clear" w:color="auto" w:fill="E6E6E6"/>
    </w:rPr>
  </w:style>
  <w:style w:type="character" w:styleId="Hipervnculovisitado">
    <w:name w:val="FollowedHyperlink"/>
    <w:basedOn w:val="Fuentedeprrafopredeter"/>
    <w:uiPriority w:val="99"/>
    <w:semiHidden/>
    <w:unhideWhenUsed/>
    <w:rsid w:val="00D76CA6"/>
    <w:rPr>
      <w:color w:val="800080" w:themeColor="followedHyperlink"/>
      <w:u w:val="single"/>
    </w:rPr>
  </w:style>
  <w:style w:type="paragraph" w:styleId="Prrafodelista">
    <w:name w:val="List Paragraph"/>
    <w:basedOn w:val="Normal"/>
    <w:uiPriority w:val="34"/>
    <w:qFormat/>
    <w:rsid w:val="000C5FCF"/>
    <w:pPr>
      <w:spacing w:after="0"/>
      <w:ind w:left="708"/>
      <w:jc w:val="left"/>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5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teoperador.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lanoper@enteoperador.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uente EOR">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5CD3D-2CBB-4A2D-9120-7C1322F4D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471</Words>
  <Characters>2595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jrevelo</dc:creator>
  <cp:lastModifiedBy>ricardo</cp:lastModifiedBy>
  <cp:revision>7</cp:revision>
  <dcterms:created xsi:type="dcterms:W3CDTF">2019-07-08T19:12:00Z</dcterms:created>
  <dcterms:modified xsi:type="dcterms:W3CDTF">2019-09-06T21:38:00Z</dcterms:modified>
</cp:coreProperties>
</file>